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июня 2015 г. N 569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ПОЛОЖЕНИЕ О </w:t>
      </w:r>
      <w:proofErr w:type="gramStart"/>
      <w:r>
        <w:rPr>
          <w:rFonts w:ascii="Calibri" w:hAnsi="Calibri" w:cs="Calibri"/>
          <w:b/>
          <w:bCs/>
        </w:rPr>
        <w:t>ГОСУДАРСТВЕННОЙ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ИСТОРИКО-КУЛЬТУРНОЙ ЭКСПЕРТИЗЕ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государственной историко-культурной экспертизе, утвержденное постановлением Правительства Российской Федерации от 15 июля 2009 г. N 569 "Об утверждении Положения о государственной историко-культурной экспертизе" (Собрание законодательства Российской Федерации, 2009, N 30, ст. 3812; 2011, N 22, ст. 3173; 2012, N 37, ст. 5000).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Утверждены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июня 2015 г. N 569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ИЗМЕНЕНИЯ,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КОТОРЫЕ</w:t>
      </w:r>
      <w:proofErr w:type="gramEnd"/>
      <w:r>
        <w:rPr>
          <w:rFonts w:ascii="Calibri" w:hAnsi="Calibri" w:cs="Calibri"/>
          <w:b/>
          <w:bCs/>
        </w:rPr>
        <w:t xml:space="preserve"> ВНОСЯТСЯ В ПОЛОЖЕНИЕ О ГОСУДАРСТВЕННОЙ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ИСТОРИКО-КУЛЬТУРНОЙ ЭКСПЕРТИЗЕ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7" w:history="1">
        <w:r>
          <w:rPr>
            <w:rFonts w:ascii="Calibri" w:hAnsi="Calibri" w:cs="Calibri"/>
            <w:color w:val="0000FF"/>
          </w:rPr>
          <w:t>Пункты 2</w:t>
        </w:r>
      </w:hyperlink>
      <w:r>
        <w:rPr>
          <w:rFonts w:ascii="Calibri" w:hAnsi="Calibri" w:cs="Calibri"/>
        </w:rPr>
        <w:t xml:space="preserve"> - </w:t>
      </w:r>
      <w:hyperlink r:id="rId8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признать утратившими силу.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9" w:history="1">
        <w:r>
          <w:rPr>
            <w:rFonts w:ascii="Calibri" w:hAnsi="Calibri" w:cs="Calibri"/>
            <w:color w:val="0000FF"/>
          </w:rPr>
          <w:t>подпункте "а" пункта 7</w:t>
        </w:r>
      </w:hyperlink>
      <w:r>
        <w:rPr>
          <w:rFonts w:ascii="Calibri" w:hAnsi="Calibri" w:cs="Calibri"/>
        </w:rPr>
        <w:t>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в </w:t>
      </w:r>
      <w:hyperlink r:id="rId10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слова "(в исключительных случаях допускается среднее профессиональное или дополнительное образование по профилю экспертной деятельности)" заменить словами ", в исключительных случаях допускается среднее профессиональное или дополнительное образование по профилю экспертной деятельности (если эксперт привлекается для проведения экспертизы объектов, указанных в подпункте "д" пункта 11(1) настоящего Положения, необходимо высшее образование претендента (бакалавриат, специалитет, магистратура, подготовка кадров высшей квалификации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осуществляемая по результатам освоения программ подготовки научно-педагогических кадров в аспирантуре) по специальностям "история", "музейное дело и охрана памятников" и "археология")";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</w:t>
      </w:r>
      <w:hyperlink r:id="rId11" w:history="1">
        <w:r>
          <w:rPr>
            <w:rFonts w:ascii="Calibri" w:hAnsi="Calibri" w:cs="Calibri"/>
            <w:color w:val="0000FF"/>
          </w:rPr>
          <w:t>абзац третий</w:t>
        </w:r>
      </w:hyperlink>
      <w:r>
        <w:rPr>
          <w:rFonts w:ascii="Calibri" w:hAnsi="Calibri" w:cs="Calibri"/>
        </w:rPr>
        <w:t xml:space="preserve"> дополнить словами "(если эксперт привлекается для проведения экспертизы объектов, указанных в подпункте "д" пункта 11(1) настоящего Положения, стаж археологических полевых работ на основании разрешения, выдаваемого федеральным органом охраны объектов культурного наследия на основании заключения Российской академии наук и подтверждающего право на проведение одного из видов археологических полевых работ (далее - открытый лист), должен составлять не менее 10</w:t>
      </w:r>
      <w:proofErr w:type="gramEnd"/>
      <w:r>
        <w:rPr>
          <w:rFonts w:ascii="Calibri" w:hAnsi="Calibri" w:cs="Calibri"/>
        </w:rPr>
        <w:t xml:space="preserve"> лет)".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12" w:history="1">
        <w:r>
          <w:rPr>
            <w:rFonts w:ascii="Calibri" w:hAnsi="Calibri" w:cs="Calibri"/>
            <w:color w:val="0000FF"/>
          </w:rPr>
          <w:t>Пункт 11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"11. Экспертиза проводится одним экспертом либо экспертной комиссией из 3 и более экспертов в зависимости от объекта экспертизы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13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пунктами 11(1) - 11(3) следующего содержания: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"11(1). Одним экспертом экспертиза проводится в отношении следующих объектов экспертизы: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выявленные объекты культурного наследия в целях обоснования целесообразности включения таких объектов в единый государственный реестр объектов культурного наследия (памятников истории и культуры) народов Российской Федерации (далее - реестр);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документы, обосновывающие включение объектов культурного наследия в реестр;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документы, обосновывающие изменение категории историко-культурного значения объекта культурного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документы, обосновывающие отнесение объекта культурного наследия к историко-культурным заповедникам, особо ценным объектам культурного наследия народов Российской Федерации либо объектам всемирного культурного и природного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д) земли, подлежащие воздействию земляных, строительных, мелиоративных и (или) хозяйственных работ, предусмотренных </w:t>
      </w:r>
      <w:hyperlink r:id="rId14" w:history="1">
        <w:r>
          <w:rPr>
            <w:rFonts w:ascii="Calibri" w:hAnsi="Calibri" w:cs="Calibri"/>
            <w:color w:val="0000FF"/>
          </w:rPr>
          <w:t>статьей 25</w:t>
        </w:r>
      </w:hyperlink>
      <w:r>
        <w:rPr>
          <w:rFonts w:ascii="Calibri" w:hAnsi="Calibri" w:cs="Calibri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r:id="rId15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7 части 1 статьи 25</w:t>
        </w:r>
      </w:hyperlink>
      <w:r>
        <w:rPr>
          <w:rFonts w:ascii="Calibri" w:hAnsi="Calibri" w:cs="Calibri"/>
        </w:rPr>
        <w:t xml:space="preserve"> Лесного кодекса Российской Федерации) и иных работ, в случае если федеральный орган охраны объектов культурного наследия и орган охраны объектов культурного наследия субъекта Российской</w:t>
      </w:r>
      <w:proofErr w:type="gramEnd"/>
      <w:r>
        <w:rPr>
          <w:rFonts w:ascii="Calibri" w:hAnsi="Calibri" w:cs="Calibri"/>
        </w:rPr>
        <w:t xml:space="preserve"> Федерации (далее - органы охраны объектов культурного наследия) не имеют данных об отсутствии на указанных землях объектов археологического наследия, включенных в реестр, и выявленных объектов археологического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е) 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</w:t>
      </w:r>
      <w:hyperlink r:id="rId18" w:history="1">
        <w:r>
          <w:rPr>
            <w:rFonts w:ascii="Calibri" w:hAnsi="Calibri" w:cs="Calibri"/>
            <w:color w:val="0000FF"/>
          </w:rPr>
          <w:t>статьей 25</w:t>
        </w:r>
      </w:hyperlink>
      <w:r>
        <w:rPr>
          <w:rFonts w:ascii="Calibri" w:hAnsi="Calibri" w:cs="Calibri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r:id="rId19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</w:t>
      </w:r>
      <w:proofErr w:type="gramEnd"/>
      <w:r>
        <w:rPr>
          <w:rFonts w:ascii="Calibri" w:hAnsi="Calibri" w:cs="Calibri"/>
        </w:rPr>
        <w:t xml:space="preserve"> </w:t>
      </w:r>
      <w:hyperlink r:id="rId21" w:history="1">
        <w:proofErr w:type="gramStart"/>
        <w:r>
          <w:rPr>
            <w:rFonts w:ascii="Calibri" w:hAnsi="Calibri" w:cs="Calibri"/>
            <w:color w:val="0000FF"/>
          </w:rPr>
          <w:t>7 части 1 статьи 25</w:t>
        </w:r>
      </w:hyperlink>
      <w:r>
        <w:rPr>
          <w:rFonts w:ascii="Calibri" w:hAnsi="Calibri" w:cs="Calibri"/>
        </w:rPr>
        <w:t xml:space="preserve"> Лесного кодекса Российской Федерации) и иных работ;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ж) документация или разделы документации, обосновывающие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</w:t>
      </w:r>
      <w:hyperlink r:id="rId22" w:history="1">
        <w:r>
          <w:rPr>
            <w:rFonts w:ascii="Calibri" w:hAnsi="Calibri" w:cs="Calibri"/>
            <w:color w:val="0000FF"/>
          </w:rPr>
          <w:t>статьей 25</w:t>
        </w:r>
      </w:hyperlink>
      <w:r>
        <w:rPr>
          <w:rFonts w:ascii="Calibri" w:hAnsi="Calibri" w:cs="Calibri"/>
        </w:rPr>
        <w:t xml:space="preserve">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связанном</w:t>
      </w:r>
      <w:proofErr w:type="gramEnd"/>
      <w:r>
        <w:rPr>
          <w:rFonts w:ascii="Calibri" w:hAnsi="Calibri" w:cs="Calibri"/>
        </w:rPr>
        <w:t xml:space="preserve"> с земельным участком в границах территории объекта культурного наследия.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11(2). Экспертной комиссией из 3 и более экспертов экспертиза проводится в отношении следующих объектов экспертизы: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документы, обосновывающие исключение объектов культурного наследия из реестра;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проекты зон охраны объекта культурного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проектная документация на проведение работ по сохранению объектов культурного наследия.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11(3). Экспертиза, указанная в подпункте "д" пункта 11(1) настоящего Положения, проводится экспертом путем археологической разведки при условии получения экспертом (физическим лицом) в установленном порядке открытого листа либо в случае привлечения в качестве эксперта юридического лица получения открытого листа физическим лицом, состоящим в трудовых отношениях с экспертом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23" w:history="1">
        <w:r>
          <w:rPr>
            <w:rFonts w:ascii="Calibri" w:hAnsi="Calibri" w:cs="Calibri"/>
            <w:color w:val="0000FF"/>
          </w:rPr>
          <w:t>Пункт 16(1)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"При проведении экспертизы, указанной в подпункте "д" пункта 11(1) настоящего Положения, заказчик представляет эксперту документы, указанные в подпунктах "т" и "у" пункта 16 настоящего Положения, а также: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выписку из государственного кадастра недвижимости о земельном участке;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заключение уполномоченного органа охраны объектов культурного наследия об отсутствии данных об объектах археологического наследия, включенных в реестр, и о выявленных объектах </w:t>
      </w:r>
      <w:r>
        <w:rPr>
          <w:rFonts w:ascii="Calibri" w:hAnsi="Calibri" w:cs="Calibri"/>
        </w:rPr>
        <w:lastRenderedPageBreak/>
        <w:t xml:space="preserve">археологического наследия на землях, подлежащих воздействию земляных, строительных, мелиоративных и (или) хозяйственных работ, предусмотренных </w:t>
      </w:r>
      <w:hyperlink r:id="rId24" w:history="1">
        <w:r>
          <w:rPr>
            <w:rFonts w:ascii="Calibri" w:hAnsi="Calibri" w:cs="Calibri"/>
            <w:color w:val="0000FF"/>
          </w:rPr>
          <w:t>статьей 25</w:t>
        </w:r>
      </w:hyperlink>
      <w:r>
        <w:rPr>
          <w:rFonts w:ascii="Calibri" w:hAnsi="Calibri" w:cs="Calibri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r:id="rId25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r:id="rId27" w:history="1">
        <w:r>
          <w:rPr>
            <w:rFonts w:ascii="Calibri" w:hAnsi="Calibri" w:cs="Calibri"/>
            <w:color w:val="0000FF"/>
          </w:rPr>
          <w:t>7 части 1 статьи 25</w:t>
        </w:r>
      </w:hyperlink>
      <w:r>
        <w:rPr>
          <w:rFonts w:ascii="Calibri" w:hAnsi="Calibri" w:cs="Calibri"/>
        </w:rPr>
        <w:t xml:space="preserve"> Лесного</w:t>
      </w:r>
      <w:proofErr w:type="gramEnd"/>
      <w:r>
        <w:rPr>
          <w:rFonts w:ascii="Calibri" w:hAnsi="Calibri" w:cs="Calibri"/>
        </w:rPr>
        <w:t xml:space="preserve"> кодекса Российской Федерации) и иных работ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</w:t>
      </w:r>
      <w:hyperlink r:id="rId28" w:history="1">
        <w:r>
          <w:rPr>
            <w:rFonts w:ascii="Calibri" w:hAnsi="Calibri" w:cs="Calibri"/>
            <w:color w:val="0000FF"/>
          </w:rPr>
          <w:t>подпункте "г" пункта 19</w:t>
        </w:r>
      </w:hyperlink>
      <w:r>
        <w:rPr>
          <w:rFonts w:ascii="Calibri" w:hAnsi="Calibri" w:cs="Calibri"/>
        </w:rPr>
        <w:t>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29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слова "аттестации Министерством культуры Российской Федерации" заменить словами "решения уполномоченного органа по аттестации экспертов на проведение экспертизы с указанием объектов экспертизы, указанных в пунктах 11(1) и 11(2) настоящего Положения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>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30" w:history="1">
        <w:r>
          <w:rPr>
            <w:rFonts w:ascii="Calibri" w:hAnsi="Calibri" w:cs="Calibri"/>
            <w:color w:val="0000FF"/>
          </w:rPr>
          <w:t>абзаце третьем</w:t>
        </w:r>
      </w:hyperlink>
      <w:r>
        <w:rPr>
          <w:rFonts w:ascii="Calibri" w:hAnsi="Calibri" w:cs="Calibri"/>
        </w:rPr>
        <w:t xml:space="preserve"> слова "аттестации Министерством культуры Российской Федерации экспертов, проводивших экспертизу" заменить словами "решения уполномоченного органа по аттестации экспертов на проведение экспертизы с указанием объектов экспертизы, указанных в пунктах 11(1) и 11(2) настоящего Положения".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hyperlink r:id="rId31" w:history="1">
        <w:r>
          <w:rPr>
            <w:rFonts w:ascii="Calibri" w:hAnsi="Calibri" w:cs="Calibri"/>
            <w:color w:val="0000FF"/>
          </w:rPr>
          <w:t>Пункт 20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"20.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экспертизы указывается однозначный вывод экспертизы: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 обоснованности (положительное заключение) или о необоснованности (отрицательное заключение):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включения объекта культурного наследия в реестр;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определения категории историко-культурного значения объекта культурного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исключения объекта культурного наследия из реестра;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 категории историко-культурного значения объекта культурного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отнесения объекта культурного наследия к особо ценным объектам культурного наследия народов Российской Федерации либо объектам всемирного культурного и природного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уточнения сведений об объекте культурного наследия, включенном в реестр, о выявленном объекте культурного наследия (в части уточнения наименования объекта культурного наследия, сведений о времени возникновения или дате создания объекта культурного наследия, датах основных изменений (перестроек) объекта культурного наследия и (или) датах связанных с ним исторических событий);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о возможности (положительное заключение) или невозможности (отрицательное заключение) проведения земляных, строительных, мелиоративных и (или) хозяйственных работ, предусмотренных </w:t>
      </w:r>
      <w:hyperlink r:id="rId32" w:history="1">
        <w:r>
          <w:rPr>
            <w:rFonts w:ascii="Calibri" w:hAnsi="Calibri" w:cs="Calibri"/>
            <w:color w:val="0000FF"/>
          </w:rPr>
          <w:t>статьей 25</w:t>
        </w:r>
      </w:hyperlink>
      <w:r>
        <w:rPr>
          <w:rFonts w:ascii="Calibri" w:hAnsi="Calibri" w:cs="Calibri"/>
        </w:rPr>
        <w:t xml:space="preserve"> Лесного кодекса Российской Федерации работ по использованию лесов и иных работ при определении отсутствия или наличия выявленных объектов археологического наследия на земельных участках, землях лесного фонда либо в границах водных объектов или их частей, подлежащих воздействию земляных, строительных, мелиоративных и</w:t>
      </w:r>
      <w:proofErr w:type="gramEnd"/>
      <w:r>
        <w:rPr>
          <w:rFonts w:ascii="Calibri" w:hAnsi="Calibri" w:cs="Calibri"/>
        </w:rPr>
        <w:t xml:space="preserve"> (или) хозяйственных работ, предусмотренных </w:t>
      </w:r>
      <w:hyperlink r:id="rId33" w:history="1">
        <w:r>
          <w:rPr>
            <w:rFonts w:ascii="Calibri" w:hAnsi="Calibri" w:cs="Calibri"/>
            <w:color w:val="0000FF"/>
          </w:rPr>
          <w:t>статьей 25</w:t>
        </w:r>
      </w:hyperlink>
      <w:r>
        <w:rPr>
          <w:rFonts w:ascii="Calibri" w:hAnsi="Calibri" w:cs="Calibri"/>
        </w:rPr>
        <w:t xml:space="preserve"> Лесного кодекса Российской Федерации работ по использованию лесов и иных работ;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в) о возможности (положительное заключение) или невозможности (отрицательное заключение) обеспечения сохранности объектов культурного наследия, включенных в реестр, выявленных объектов культурного наследия либо объектов, обладающих признаками объекта культурного наследия, при проведении земляных, строительных, мелиоративных и (или) хозяйственных работ, предусмотренных </w:t>
      </w:r>
      <w:hyperlink r:id="rId34" w:history="1">
        <w:r>
          <w:rPr>
            <w:rFonts w:ascii="Calibri" w:hAnsi="Calibri" w:cs="Calibri"/>
            <w:color w:val="0000FF"/>
          </w:rPr>
          <w:t>статьей 25</w:t>
        </w:r>
      </w:hyperlink>
      <w:r>
        <w:rPr>
          <w:rFonts w:ascii="Calibri" w:hAnsi="Calibri" w:cs="Calibri"/>
        </w:rPr>
        <w:t xml:space="preserve"> Лесного кодекса Российской Федерации работ по использованию лесов и иных работ;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соответствии (положительное заключение) или несоответствии (отрицательное заключение) требованиям законодательства Российской Федерации в области государственной охраны объектов культурного наследия: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требований к градостроительным регламентам в границах </w:t>
      </w:r>
      <w:proofErr w:type="gramStart"/>
      <w:r>
        <w:rPr>
          <w:rFonts w:ascii="Calibri" w:hAnsi="Calibri" w:cs="Calibri"/>
        </w:rPr>
        <w:t>территорий зон охраны объекта культурного наследия</w:t>
      </w:r>
      <w:proofErr w:type="gramEnd"/>
      <w:r>
        <w:rPr>
          <w:rFonts w:ascii="Calibri" w:hAnsi="Calibri" w:cs="Calibri"/>
        </w:rPr>
        <w:t>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требований к градостроительным регламентам в границах территории достопримечательного места;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требований к осуществлению деятельности в границах территории достопримечательного места либо особого режима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установления </w:t>
      </w:r>
      <w:proofErr w:type="gramStart"/>
      <w:r>
        <w:rPr>
          <w:rFonts w:ascii="Calibri" w:hAnsi="Calibri" w:cs="Calibri"/>
        </w:rPr>
        <w:t>границ территорий зон охраны объекта культурного наследия</w:t>
      </w:r>
      <w:proofErr w:type="gramEnd"/>
      <w:r>
        <w:rPr>
          <w:rFonts w:ascii="Calibri" w:hAnsi="Calibri" w:cs="Calibri"/>
        </w:rPr>
        <w:t xml:space="preserve"> и особых режимов использования земель в границах зон охраны объекта культурного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проектной документации на проведение работ по сохранению объектов культурного наследия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r:id="rId35" w:history="1">
        <w:r>
          <w:rPr>
            <w:rFonts w:ascii="Calibri" w:hAnsi="Calibri" w:cs="Calibri"/>
            <w:color w:val="0000FF"/>
          </w:rPr>
          <w:t>Пункт 28</w:t>
        </w:r>
      </w:hyperlink>
      <w:r>
        <w:rPr>
          <w:rFonts w:ascii="Calibri" w:hAnsi="Calibri" w:cs="Calibri"/>
        </w:rPr>
        <w:t xml:space="preserve"> дополнить словами "на бумажном носителе и электронном носителе в формате переносимого документа (PDF)".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hyperlink r:id="rId36" w:history="1">
        <w:r>
          <w:rPr>
            <w:rFonts w:ascii="Calibri" w:hAnsi="Calibri" w:cs="Calibri"/>
            <w:color w:val="0000FF"/>
          </w:rPr>
          <w:t>Пункты 29</w:t>
        </w:r>
      </w:hyperlink>
      <w:r>
        <w:rPr>
          <w:rFonts w:ascii="Calibri" w:hAnsi="Calibri" w:cs="Calibri"/>
        </w:rPr>
        <w:t xml:space="preserve"> и </w:t>
      </w:r>
      <w:hyperlink r:id="rId37" w:history="1">
        <w:r>
          <w:rPr>
            <w:rFonts w:ascii="Calibri" w:hAnsi="Calibri" w:cs="Calibri"/>
            <w:color w:val="0000FF"/>
          </w:rPr>
          <w:t>30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"29. Орган охраны объектов культурного наследия в течение 45 рабочих дней со дня получения заключения экспертизы рассматривает его и прилагаемые к нему документы и материалы, предусмотренные пунктом 26 настоящего Положения.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 охраны объектов культурного наследия в течение 5 рабочих дней со дня получения заключения экспертизы и в соответствии с подпунктом "а" пункта 26 настоящего Положения приложений к нему обязан их размещать на официальном сайте органов охраны объектов культурного наследия в информационно-телекоммуникационной сети "Интернет" (далее - сеть "Интернет") для общественного обсуждения.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Орган охраны объектов культурного наследия рассматривает предложения, поступившие в течение 15 рабочих дней со дня размещения заключения экспертизы и в соответствии с подпунктом "а" пункта 26 настоящего Положения приложений к нему, на официальных сайтах органов охраны объектов культурного наследия в сети "Интернет" в электронной или письменной форме.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Датой поступления предложений считается дата регистрации обращения в органе охраны объектов культурного наследия.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Орган охраны объектов культурного наследия, разместивший заключение экспертизы и в соответствии с подпунктом "а" пункта 26 настоящего Положения приложения к нему, в течение 10 рабочих дней со дня окончания общественного обсуждения на официальном сайте в сети "Интернет" размещает сводку предложений, поступивших во время общественного обсуждения заключения экспертизы, с указанием позиции органа охраны объектов культурного наследия.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 охраны объектов культурного наследия обязан рассмотреть все предложения, поступившие в установленный срок в электронной или письменной форме по результатам общественного обсуждения размещенных заключений экспертизы.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рассмотрения заключений экспертизы, прилагаемых к нему документов и материалов, а также предложений, поступивших во время общественного обсуждения, орган охраны объектов культурного наследия принимает решение о согласии с выводами, изложенными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экспертизы, или несогласии с выводами, изложенными в заключении экспертизы.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несогласия с выводами заключения экспертизы орган охраны объектов культурного наследия уведомляет об этом заказчика письменно с указанием мотивированных причин несогласия. К причинам несогласия относятся: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истечение 3-летнего срока со дня оформления заключения экспертизы;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в отношении эксперта, подписавшего заключение экспертизы, обстоятельств, предусмотренных пунктом 8 настоящего Положения;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установленного порядка проведения экспертизы;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представление для проведения экспертизы документов, указанных в пункте 16 настоящего Положения, содержащих недостоверные сведения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hyperlink r:id="rId38" w:history="1">
        <w:r>
          <w:rPr>
            <w:rFonts w:ascii="Calibri" w:hAnsi="Calibri" w:cs="Calibri"/>
            <w:color w:val="0000FF"/>
          </w:rPr>
          <w:t>Пункты 32</w:t>
        </w:r>
      </w:hyperlink>
      <w:r>
        <w:rPr>
          <w:rFonts w:ascii="Calibri" w:hAnsi="Calibri" w:cs="Calibri"/>
        </w:rPr>
        <w:t xml:space="preserve"> и </w:t>
      </w:r>
      <w:hyperlink r:id="rId39" w:history="1">
        <w:r>
          <w:rPr>
            <w:rFonts w:ascii="Calibri" w:hAnsi="Calibri" w:cs="Calibri"/>
            <w:color w:val="0000FF"/>
          </w:rPr>
          <w:t>33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"32. В случае </w:t>
      </w:r>
      <w:proofErr w:type="gramStart"/>
      <w:r>
        <w:rPr>
          <w:rFonts w:ascii="Calibri" w:hAnsi="Calibri" w:cs="Calibri"/>
        </w:rPr>
        <w:t>несогласия органа охраны объектов культурного наследия</w:t>
      </w:r>
      <w:proofErr w:type="gramEnd"/>
      <w:r>
        <w:rPr>
          <w:rFonts w:ascii="Calibri" w:hAnsi="Calibri" w:cs="Calibri"/>
        </w:rPr>
        <w:t xml:space="preserve"> с заключением экспертизы по причинам, предусмотренным пунктом 30 настоящего Положения, заказчик вправе заново представить в указанный орган 2 экземпляра заключения экспертизы и прилагаемые к нему документы и материалы при условии их доработки с учетом замечаний и предложений, изложенных в уведомлении.</w:t>
      </w: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В случае несогласия с заключением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порядке, установленном настоящим Положением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009E" w:rsidRDefault="008E009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0E47" w:rsidRDefault="00960E47">
      <w:bookmarkStart w:id="3" w:name="_GoBack"/>
      <w:bookmarkEnd w:id="3"/>
    </w:p>
    <w:sectPr w:rsidR="00960E47" w:rsidSect="002B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9E"/>
    <w:rsid w:val="008E009E"/>
    <w:rsid w:val="009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3C8718A27D389F2EFF12517666D2E0E4A90063B5C390CD90FE25D78DBEC6EC68A21D5423F" TargetMode="External"/><Relationship Id="rId13" Type="http://schemas.openxmlformats.org/officeDocument/2006/relationships/hyperlink" Target="consultantplus://offline/ref=EF3C8718A27D389F2EFF12517666D2E0E4A90063B5C390CD90FE25D78DBEC6EC68A21D416C1E2FE55B25F" TargetMode="External"/><Relationship Id="rId18" Type="http://schemas.openxmlformats.org/officeDocument/2006/relationships/hyperlink" Target="consultantplus://offline/ref=EF3C8718A27D389F2EFF12517666D2E0E4AC0C68B1C090CD90FE25D78DBEC6EC68A21D416C1E2EE15B2DF" TargetMode="External"/><Relationship Id="rId26" Type="http://schemas.openxmlformats.org/officeDocument/2006/relationships/hyperlink" Target="consultantplus://offline/ref=EF3C8718A27D389F2EFF12517666D2E0E4AC0C68B1C090CD90FE25D78DBEC6EC68A21D416C1E2EE15B28F" TargetMode="External"/><Relationship Id="rId39" Type="http://schemas.openxmlformats.org/officeDocument/2006/relationships/hyperlink" Target="consultantplus://offline/ref=EF3C8718A27D389F2EFF12517666D2E0E4A90063B5C390CD90FE25D78DBEC6EC68A21D416C1E2EE35B2B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3C8718A27D389F2EFF12517666D2E0E4AC0C68B1C090CD90FE25D78DBEC6EC68A21D416C1E2EE15B25F" TargetMode="External"/><Relationship Id="rId34" Type="http://schemas.openxmlformats.org/officeDocument/2006/relationships/hyperlink" Target="consultantplus://offline/ref=EF3C8718A27D389F2EFF12517666D2E0E4AC0C68B1C090CD90FE25D78DBEC6EC68A21D416C1E2EE15B2DF" TargetMode="External"/><Relationship Id="rId7" Type="http://schemas.openxmlformats.org/officeDocument/2006/relationships/hyperlink" Target="consultantplus://offline/ref=EF3C8718A27D389F2EFF12517666D2E0E4A90063B5C390CD90FE25D78DBEC6EC68A21D5421F" TargetMode="External"/><Relationship Id="rId12" Type="http://schemas.openxmlformats.org/officeDocument/2006/relationships/hyperlink" Target="consultantplus://offline/ref=EF3C8718A27D389F2EFF12517666D2E0E4A90063B5C390CD90FE25D78DBEC6EC68A21D416C1E2FE15B2BF" TargetMode="External"/><Relationship Id="rId17" Type="http://schemas.openxmlformats.org/officeDocument/2006/relationships/hyperlink" Target="consultantplus://offline/ref=EF3C8718A27D389F2EFF12517666D2E0E4AC0C68B1C090CD90FE25D78DBEC6EC68A21D416C1E2EE15B25F" TargetMode="External"/><Relationship Id="rId25" Type="http://schemas.openxmlformats.org/officeDocument/2006/relationships/hyperlink" Target="consultantplus://offline/ref=EF3C8718A27D389F2EFF12517666D2E0E4AC0C68B1C090CD90FE25D78DBEC6EC68A21D416C1E2EE15B29F" TargetMode="External"/><Relationship Id="rId33" Type="http://schemas.openxmlformats.org/officeDocument/2006/relationships/hyperlink" Target="consultantplus://offline/ref=EF3C8718A27D389F2EFF12517666D2E0E4AC0C68B1C090CD90FE25D78DBEC6EC68A21D416C1E2EE15B2DF" TargetMode="External"/><Relationship Id="rId38" Type="http://schemas.openxmlformats.org/officeDocument/2006/relationships/hyperlink" Target="consultantplus://offline/ref=EF3C8718A27D389F2EFF12517666D2E0E4A90063B5C390CD90FE25D78DBEC6EC68A21D416C1E2EE35B2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3C8718A27D389F2EFF12517666D2E0E4AC0C68B1C090CD90FE25D78DBEC6EC68A21D416C1E2EE15B28F" TargetMode="External"/><Relationship Id="rId20" Type="http://schemas.openxmlformats.org/officeDocument/2006/relationships/hyperlink" Target="consultantplus://offline/ref=EF3C8718A27D389F2EFF12517666D2E0E4AC0C68B1C090CD90FE25D78DBEC6EC68A21D416C1E2EE15B28F" TargetMode="External"/><Relationship Id="rId29" Type="http://schemas.openxmlformats.org/officeDocument/2006/relationships/hyperlink" Target="consultantplus://offline/ref=EF3C8718A27D389F2EFF12517666D2E0E4A90063B5C390CD90FE25D78DBEC6EC68A21D5425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3C8718A27D389F2EFF12517666D2E0E4A90063B5C390CD90FE25D78DBEC6EC68A21D416C1E2FE55B25F" TargetMode="External"/><Relationship Id="rId11" Type="http://schemas.openxmlformats.org/officeDocument/2006/relationships/hyperlink" Target="consultantplus://offline/ref=EF3C8718A27D389F2EFF12517666D2E0E4A90063B5C390CD90FE25D78DBEC6EC68A21D416C1E2FE65B2EF" TargetMode="External"/><Relationship Id="rId24" Type="http://schemas.openxmlformats.org/officeDocument/2006/relationships/hyperlink" Target="consultantplus://offline/ref=EF3C8718A27D389F2EFF12517666D2E0E4AC0C68B1C090CD90FE25D78DBEC6EC68A21D416C1E2EE15B2DF" TargetMode="External"/><Relationship Id="rId32" Type="http://schemas.openxmlformats.org/officeDocument/2006/relationships/hyperlink" Target="consultantplus://offline/ref=EF3C8718A27D389F2EFF12517666D2E0E4AC0C68B1C090CD90FE25D78DBEC6EC68A21D416C1E2EE15B2DF" TargetMode="External"/><Relationship Id="rId37" Type="http://schemas.openxmlformats.org/officeDocument/2006/relationships/hyperlink" Target="consultantplus://offline/ref=EF3C8718A27D389F2EFF12517666D2E0E4A90063B5C390CD90FE25D78DBEC6EC68A21D416C1E2EE05B29F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F3C8718A27D389F2EFF12517666D2E0E4AC0C68B1C090CD90FE25D78DBEC6EC68A21D416C1E2EE15B29F" TargetMode="External"/><Relationship Id="rId23" Type="http://schemas.openxmlformats.org/officeDocument/2006/relationships/hyperlink" Target="consultantplus://offline/ref=EF3C8718A27D389F2EFF12517666D2E0E4A90063B5C390CD90FE25D78DBEC6EC68A21D425624F" TargetMode="External"/><Relationship Id="rId28" Type="http://schemas.openxmlformats.org/officeDocument/2006/relationships/hyperlink" Target="consultantplus://offline/ref=EF3C8718A27D389F2EFF12517666D2E0E4A90063B5C390CD90FE25D78DBEC6EC68A21D416C1E2EE55B24F" TargetMode="External"/><Relationship Id="rId36" Type="http://schemas.openxmlformats.org/officeDocument/2006/relationships/hyperlink" Target="consultantplus://offline/ref=EF3C8718A27D389F2EFF12517666D2E0E4A90063B5C390CD90FE25D78DBEC6EC68A21D416C1E2EE05B2FF" TargetMode="External"/><Relationship Id="rId10" Type="http://schemas.openxmlformats.org/officeDocument/2006/relationships/hyperlink" Target="consultantplus://offline/ref=EF3C8718A27D389F2EFF12517666D2E0E4A90063B5C390CD90FE25D78DBEC6EC68A21D416C1E2FE65B2FF" TargetMode="External"/><Relationship Id="rId19" Type="http://schemas.openxmlformats.org/officeDocument/2006/relationships/hyperlink" Target="consultantplus://offline/ref=EF3C8718A27D389F2EFF12517666D2E0E4AC0C68B1C090CD90FE25D78DBEC6EC68A21D416C1E2EE15B29F" TargetMode="External"/><Relationship Id="rId31" Type="http://schemas.openxmlformats.org/officeDocument/2006/relationships/hyperlink" Target="consultantplus://offline/ref=EF3C8718A27D389F2EFF12517666D2E0E4A90063B5C390CD90FE25D78DBEC6EC68A21D416C1E2EE75B2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3C8718A27D389F2EFF12517666D2E0E4A90063B5C390CD90FE25D78DBEC6EC68A21D416C1E2FE65B2CF" TargetMode="External"/><Relationship Id="rId14" Type="http://schemas.openxmlformats.org/officeDocument/2006/relationships/hyperlink" Target="consultantplus://offline/ref=EF3C8718A27D389F2EFF12517666D2E0E4AC0C68B1C090CD90FE25D78DBEC6EC68A21D416C1E2EE15B2DF" TargetMode="External"/><Relationship Id="rId22" Type="http://schemas.openxmlformats.org/officeDocument/2006/relationships/hyperlink" Target="consultantplus://offline/ref=EF3C8718A27D389F2EFF12517666D2E0E4AC0C68B1C090CD90FE25D78DBEC6EC68A21D416C1E2EE15B2DF" TargetMode="External"/><Relationship Id="rId27" Type="http://schemas.openxmlformats.org/officeDocument/2006/relationships/hyperlink" Target="consultantplus://offline/ref=EF3C8718A27D389F2EFF12517666D2E0E4AC0C68B1C090CD90FE25D78DBEC6EC68A21D416C1E2EE15B25F" TargetMode="External"/><Relationship Id="rId30" Type="http://schemas.openxmlformats.org/officeDocument/2006/relationships/hyperlink" Target="consultantplus://offline/ref=EF3C8718A27D389F2EFF12517666D2E0E4A90063B5C390CD90FE25D78DBEC6EC68A21D5426F" TargetMode="External"/><Relationship Id="rId35" Type="http://schemas.openxmlformats.org/officeDocument/2006/relationships/hyperlink" Target="consultantplus://offline/ref=EF3C8718A27D389F2EFF12517666D2E0E4A90063B5C390CD90FE25D78DBEC6EC68A21D416C1E2EE05B2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2015-06-17T05:54:00Z</dcterms:created>
  <dcterms:modified xsi:type="dcterms:W3CDTF">2015-06-17T05:56:00Z</dcterms:modified>
</cp:coreProperties>
</file>